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4B" w:rsidRDefault="00C03D4B" w:rsidP="00C03D4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TEST PROTOCOLS FOR HIGH-VELOCITY HURRICANE ZONES, 5</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Edition (2014)</w:t>
      </w:r>
    </w:p>
    <w:p w:rsidR="00C03D4B" w:rsidRDefault="00C03D4B" w:rsidP="00C03D4B">
      <w:pPr>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C03D4B" w:rsidRDefault="00C03D4B" w:rsidP="00C03D4B">
      <w:pPr>
        <w:spacing w:after="0" w:line="240" w:lineRule="auto"/>
        <w:jc w:val="center"/>
        <w:rPr>
          <w:rFonts w:ascii="Times New Roman" w:eastAsia="Times New Roman" w:hAnsi="Times New Roman" w:cs="Times New Roman"/>
          <w:sz w:val="24"/>
          <w:szCs w:val="24"/>
        </w:rPr>
      </w:pPr>
    </w:p>
    <w:p w:rsidR="00C03D4B" w:rsidRDefault="00C03D4B" w:rsidP="00C03D4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w:t>
      </w:r>
      <w:r>
        <w:rPr>
          <w:rFonts w:ascii="Times New Roman" w:eastAsia="Times New Roman" w:hAnsi="Times New Roman" w:cs="Times New Roman"/>
          <w:b/>
          <w:color w:val="FF0000"/>
          <w:sz w:val="24"/>
          <w:szCs w:val="24"/>
        </w:rPr>
        <w:t>E: The base document is the 5</w:t>
      </w:r>
      <w:r w:rsidRPr="00C03D4B">
        <w:rPr>
          <w:rFonts w:ascii="Times New Roman" w:eastAsia="Times New Roman" w:hAnsi="Times New Roman" w:cs="Times New Roman"/>
          <w:b/>
          <w:color w:val="FF0000"/>
          <w:sz w:val="24"/>
          <w:szCs w:val="24"/>
          <w:vertAlign w:val="superscript"/>
        </w:rPr>
        <w:t>th</w:t>
      </w:r>
      <w:r>
        <w:rPr>
          <w:rFonts w:ascii="Times New Roman" w:eastAsia="Times New Roman" w:hAnsi="Times New Roman" w:cs="Times New Roman"/>
          <w:b/>
          <w:color w:val="FF0000"/>
          <w:sz w:val="24"/>
          <w:szCs w:val="24"/>
        </w:rPr>
        <w:t xml:space="preserve"> Edition (2014)</w:t>
      </w:r>
      <w:r>
        <w:rPr>
          <w:rFonts w:ascii="Times New Roman" w:eastAsia="Times New Roman" w:hAnsi="Times New Roman" w:cs="Times New Roman"/>
          <w:b/>
          <w:color w:val="FF0000"/>
          <w:sz w:val="24"/>
          <w:szCs w:val="24"/>
        </w:rPr>
        <w:t xml:space="preserve"> Florida Building Code, Test Protocols for High-Velocity Hurricane Zones]</w:t>
      </w:r>
    </w:p>
    <w:p w:rsidR="00C03D4B" w:rsidRDefault="00C03D4B" w:rsidP="00C03D4B">
      <w:pPr>
        <w:spacing w:after="0" w:line="240" w:lineRule="auto"/>
        <w:jc w:val="center"/>
        <w:rPr>
          <w:rFonts w:ascii="Times New Roman" w:eastAsia="Times New Roman" w:hAnsi="Times New Roman" w:cs="Times New Roman"/>
          <w:b/>
          <w:sz w:val="24"/>
          <w:szCs w:val="24"/>
        </w:rPr>
      </w:pPr>
    </w:p>
    <w:p w:rsidR="00C03D4B" w:rsidRDefault="00C03D4B" w:rsidP="00C03D4B">
      <w:pPr>
        <w:spacing w:before="120" w:after="0" w:line="240" w:lineRule="auto"/>
        <w:jc w:val="center"/>
        <w:rPr>
          <w:rFonts w:ascii="Times New Roman" w:hAnsi="Times New Roman"/>
          <w:b/>
          <w:sz w:val="24"/>
          <w:szCs w:val="24"/>
          <w:u w:val="single"/>
        </w:rPr>
      </w:pPr>
      <w:r>
        <w:rPr>
          <w:rFonts w:ascii="Times New Roman" w:hAnsi="Times New Roman"/>
          <w:b/>
          <w:sz w:val="24"/>
          <w:szCs w:val="24"/>
          <w:u w:val="single"/>
        </w:rPr>
        <w:t>PREFACE</w:t>
      </w:r>
    </w:p>
    <w:p w:rsidR="00C03D4B" w:rsidRDefault="00C03D4B" w:rsidP="00C03D4B">
      <w:pPr>
        <w:spacing w:before="120" w:after="0" w:line="240" w:lineRule="auto"/>
        <w:rPr>
          <w:rFonts w:ascii="Times New Roman" w:hAnsi="Times New Roman"/>
          <w:b/>
          <w:sz w:val="24"/>
          <w:szCs w:val="24"/>
          <w:u w:val="single"/>
        </w:rPr>
      </w:pPr>
    </w:p>
    <w:p w:rsidR="00C03D4B" w:rsidRDefault="00C03D4B" w:rsidP="00C03D4B">
      <w:pPr>
        <w:spacing w:before="120" w:after="0" w:line="240" w:lineRule="auto"/>
        <w:rPr>
          <w:rFonts w:ascii="Times New Roman" w:hAnsi="Times New Roman"/>
          <w:b/>
          <w:sz w:val="24"/>
          <w:szCs w:val="24"/>
          <w:u w:val="single"/>
        </w:rPr>
      </w:pPr>
      <w:r>
        <w:rPr>
          <w:rFonts w:ascii="Times New Roman" w:hAnsi="Times New Roman"/>
          <w:b/>
          <w:sz w:val="24"/>
          <w:szCs w:val="24"/>
          <w:u w:val="single"/>
        </w:rPr>
        <w:t>History</w:t>
      </w:r>
    </w:p>
    <w:p w:rsidR="00C03D4B" w:rsidRDefault="00C03D4B" w:rsidP="00C03D4B">
      <w:pPr>
        <w:spacing w:before="120" w:after="0" w:line="240" w:lineRule="auto"/>
        <w:rPr>
          <w:rFonts w:ascii="Times New Roman" w:hAnsi="Times New Roman"/>
          <w:sz w:val="24"/>
          <w:szCs w:val="24"/>
          <w:u w:val="single"/>
        </w:rPr>
      </w:pPr>
      <w:proofErr w:type="gramStart"/>
      <w:r>
        <w:rPr>
          <w:rFonts w:ascii="Times New Roman" w:hAnsi="Times New Roman"/>
          <w:sz w:val="24"/>
          <w:szCs w:val="24"/>
          <w:u w:val="single"/>
        </w:rPr>
        <w:t>The State of Florida first mandated statewide building codes during the 1970s at the beginning of the modern construction boom.</w:t>
      </w:r>
      <w:proofErr w:type="gramEnd"/>
      <w:r>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The 1998 Florida Legislature amended Chapter 553, </w:t>
      </w:r>
      <w:r>
        <w:rPr>
          <w:rFonts w:ascii="Times New Roman" w:hAnsi="Times New Roman"/>
          <w:i/>
          <w:sz w:val="24"/>
          <w:szCs w:val="24"/>
          <w:u w:val="single"/>
        </w:rPr>
        <w:t>Florida Statutes</w:t>
      </w:r>
      <w:r>
        <w:rPr>
          <w:rFonts w:ascii="Times New Roman" w:hAnsi="Times New Roman"/>
          <w:sz w:val="24"/>
          <w:szCs w:val="24"/>
          <w:u w:val="single"/>
        </w:rPr>
        <w:t xml:space="preserve"> (FS), </w:t>
      </w:r>
      <w:proofErr w:type="gramStart"/>
      <w:r>
        <w:rPr>
          <w:rFonts w:ascii="Times New Roman" w:hAnsi="Times New Roman"/>
          <w:sz w:val="24"/>
          <w:szCs w:val="24"/>
          <w:u w:val="single"/>
        </w:rPr>
        <w:t>Building</w:t>
      </w:r>
      <w:proofErr w:type="gramEnd"/>
      <w:r>
        <w:rPr>
          <w:rFonts w:ascii="Times New Roman" w:hAnsi="Times New Roman"/>
          <w:sz w:val="24"/>
          <w:szCs w:val="24"/>
          <w:u w:val="single"/>
        </w:rPr>
        <w:t xml:space="preserve"> Construction Standards, to create a single state building code that is enforced by local governments. As of March 1, 2002, the </w:t>
      </w:r>
      <w:r>
        <w:rPr>
          <w:rFonts w:ascii="Times New Roman" w:hAnsi="Times New Roman"/>
          <w:i/>
          <w:sz w:val="24"/>
          <w:szCs w:val="24"/>
          <w:u w:val="single"/>
        </w:rPr>
        <w:t>Florida Building Code</w:t>
      </w:r>
      <w:r>
        <w:rPr>
          <w:rFonts w:ascii="Times New Roman" w:hAnsi="Times New Roman"/>
          <w:sz w:val="24"/>
          <w:szCs w:val="24"/>
          <w:u w:val="single"/>
        </w:rPr>
        <w:t xml:space="preserve">, which is developed and maintained by the Florida Building Commission, supersedes all local building codes. The </w:t>
      </w:r>
      <w:r>
        <w:rPr>
          <w:rFonts w:ascii="Times New Roman" w:hAnsi="Times New Roman"/>
          <w:i/>
          <w:sz w:val="24"/>
          <w:szCs w:val="24"/>
          <w:u w:val="single"/>
        </w:rPr>
        <w:t xml:space="preserve">Florida Building Code </w:t>
      </w:r>
      <w:r>
        <w:rPr>
          <w:rFonts w:ascii="Times New Roman" w:hAnsi="Times New Roman"/>
          <w:sz w:val="24"/>
          <w:szCs w:val="24"/>
          <w:u w:val="single"/>
        </w:rPr>
        <w:t>is updated every three years and may be amended annually to incorporate interpretations and clarifications.</w:t>
      </w:r>
    </w:p>
    <w:p w:rsidR="00C03D4B" w:rsidRDefault="00C03D4B" w:rsidP="00C03D4B">
      <w:pPr>
        <w:spacing w:before="120" w:after="0" w:line="240" w:lineRule="auto"/>
        <w:rPr>
          <w:rFonts w:ascii="Times New Roman" w:hAnsi="Times New Roman"/>
          <w:b/>
          <w:sz w:val="24"/>
          <w:szCs w:val="24"/>
          <w:u w:val="single"/>
        </w:rPr>
      </w:pPr>
    </w:p>
    <w:p w:rsidR="00C03D4B" w:rsidRDefault="00C03D4B" w:rsidP="00C03D4B">
      <w:pPr>
        <w:spacing w:before="120" w:after="0" w:line="240" w:lineRule="auto"/>
        <w:rPr>
          <w:rFonts w:ascii="Times New Roman" w:hAnsi="Times New Roman"/>
          <w:b/>
          <w:sz w:val="24"/>
          <w:szCs w:val="24"/>
          <w:u w:val="single"/>
        </w:rPr>
      </w:pPr>
      <w:r>
        <w:rPr>
          <w:rFonts w:ascii="Times New Roman" w:hAnsi="Times New Roman"/>
          <w:b/>
          <w:sz w:val="24"/>
          <w:szCs w:val="24"/>
          <w:u w:val="single"/>
        </w:rPr>
        <w:t>Scope</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The </w:t>
      </w:r>
      <w:r>
        <w:rPr>
          <w:rFonts w:ascii="Times New Roman" w:hAnsi="Times New Roman"/>
          <w:i/>
          <w:sz w:val="24"/>
          <w:szCs w:val="24"/>
          <w:u w:val="single"/>
        </w:rPr>
        <w:t>Florida Building Code</w:t>
      </w:r>
      <w:r>
        <w:rPr>
          <w:rFonts w:ascii="Times New Roman" w:hAnsi="Times New Roman"/>
          <w:sz w:val="24"/>
          <w:szCs w:val="24"/>
          <w:u w:val="single"/>
        </w:rPr>
        <w:t xml:space="preserve"> is based on national model building codes and national consensus standards which are amended where necessary for Florida’s specific needs. However, code 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 the State of Florida other than those specifically exempted by Section 553.73, </w:t>
      </w:r>
      <w:r>
        <w:rPr>
          <w:rFonts w:ascii="Times New Roman" w:hAnsi="Times New Roman"/>
          <w:i/>
          <w:sz w:val="24"/>
          <w:szCs w:val="24"/>
          <w:u w:val="single"/>
        </w:rPr>
        <w:t>Florida Statutes</w:t>
      </w:r>
      <w:r>
        <w:rPr>
          <w:rFonts w:ascii="Times New Roman" w:hAnsi="Times New Roman"/>
          <w:sz w:val="24"/>
          <w:szCs w:val="24"/>
          <w:u w:val="single"/>
        </w:rPr>
        <w:t xml:space="preserve">. It has been harmonized with the </w:t>
      </w:r>
      <w:r>
        <w:rPr>
          <w:rFonts w:ascii="Times New Roman" w:hAnsi="Times New Roman"/>
          <w:i/>
          <w:sz w:val="24"/>
          <w:szCs w:val="24"/>
          <w:u w:val="single"/>
        </w:rPr>
        <w:t>Florida Fire Prevention Code</w:t>
      </w:r>
      <w:r>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The base codes for the 6th</w:t>
      </w:r>
      <w:r>
        <w:rPr>
          <w:rFonts w:ascii="Times New Roman" w:hAnsi="Times New Roman"/>
          <w:sz w:val="24"/>
          <w:szCs w:val="24"/>
          <w:u w:val="single"/>
        </w:rPr>
        <w:t xml:space="preserve"> editi</w:t>
      </w:r>
      <w:r>
        <w:rPr>
          <w:rFonts w:ascii="Times New Roman" w:hAnsi="Times New Roman"/>
          <w:sz w:val="24"/>
          <w:szCs w:val="24"/>
          <w:u w:val="single"/>
        </w:rPr>
        <w:t xml:space="preserve">on (2017) </w:t>
      </w:r>
      <w:r>
        <w:rPr>
          <w:rFonts w:ascii="Times New Roman" w:hAnsi="Times New Roman"/>
          <w:sz w:val="24"/>
          <w:szCs w:val="24"/>
          <w:u w:val="single"/>
        </w:rPr>
        <w:t xml:space="preserve">of the </w:t>
      </w:r>
      <w:r>
        <w:rPr>
          <w:rFonts w:ascii="Times New Roman" w:hAnsi="Times New Roman"/>
          <w:i/>
          <w:sz w:val="24"/>
          <w:szCs w:val="24"/>
          <w:u w:val="single"/>
        </w:rPr>
        <w:t>Florida Building Code</w:t>
      </w:r>
      <w:r>
        <w:rPr>
          <w:rFonts w:ascii="Times New Roman" w:hAnsi="Times New Roman"/>
          <w:sz w:val="24"/>
          <w:szCs w:val="24"/>
          <w:u w:val="single"/>
        </w:rPr>
        <w:t xml:space="preserve"> include: the In</w:t>
      </w:r>
      <w:r>
        <w:rPr>
          <w:rFonts w:ascii="Times New Roman" w:hAnsi="Times New Roman"/>
          <w:sz w:val="24"/>
          <w:szCs w:val="24"/>
          <w:u w:val="single"/>
        </w:rPr>
        <w:t>ternational Building Code®, 2015</w:t>
      </w:r>
      <w:r>
        <w:rPr>
          <w:rFonts w:ascii="Times New Roman" w:hAnsi="Times New Roman"/>
          <w:sz w:val="24"/>
          <w:szCs w:val="24"/>
          <w:u w:val="single"/>
        </w:rPr>
        <w:t xml:space="preserve"> edition; the In</w:t>
      </w:r>
      <w:r>
        <w:rPr>
          <w:rFonts w:ascii="Times New Roman" w:hAnsi="Times New Roman"/>
          <w:sz w:val="24"/>
          <w:szCs w:val="24"/>
          <w:u w:val="single"/>
        </w:rPr>
        <w:t>ternational Plumbing Code®, 2015</w:t>
      </w:r>
      <w:r>
        <w:rPr>
          <w:rFonts w:ascii="Times New Roman" w:hAnsi="Times New Roman"/>
          <w:sz w:val="24"/>
          <w:szCs w:val="24"/>
          <w:u w:val="single"/>
        </w:rPr>
        <w:t xml:space="preserve"> edition; the Inte</w:t>
      </w:r>
      <w:r>
        <w:rPr>
          <w:rFonts w:ascii="Times New Roman" w:hAnsi="Times New Roman"/>
          <w:sz w:val="24"/>
          <w:szCs w:val="24"/>
          <w:u w:val="single"/>
        </w:rPr>
        <w:t>rnational Mechanical Code®, 2015</w:t>
      </w:r>
      <w:r>
        <w:rPr>
          <w:rFonts w:ascii="Times New Roman" w:hAnsi="Times New Roman"/>
          <w:sz w:val="24"/>
          <w:szCs w:val="24"/>
          <w:u w:val="single"/>
        </w:rPr>
        <w:t xml:space="preserve"> edition; the In</w:t>
      </w:r>
      <w:r>
        <w:rPr>
          <w:rFonts w:ascii="Times New Roman" w:hAnsi="Times New Roman"/>
          <w:sz w:val="24"/>
          <w:szCs w:val="24"/>
          <w:u w:val="single"/>
        </w:rPr>
        <w:t>ternational Fuel Gas Code®, 2015</w:t>
      </w:r>
      <w:r>
        <w:rPr>
          <w:rFonts w:ascii="Times New Roman" w:hAnsi="Times New Roman"/>
          <w:sz w:val="24"/>
          <w:szCs w:val="24"/>
          <w:u w:val="single"/>
        </w:rPr>
        <w:t xml:space="preserve"> edition; the Internati</w:t>
      </w:r>
      <w:r>
        <w:rPr>
          <w:rFonts w:ascii="Times New Roman" w:hAnsi="Times New Roman"/>
          <w:sz w:val="24"/>
          <w:szCs w:val="24"/>
          <w:u w:val="single"/>
        </w:rPr>
        <w:t xml:space="preserve">onal Residential Code®, 2015 </w:t>
      </w:r>
      <w:r>
        <w:rPr>
          <w:rFonts w:ascii="Times New Roman" w:hAnsi="Times New Roman"/>
          <w:sz w:val="24"/>
          <w:szCs w:val="24"/>
          <w:u w:val="single"/>
        </w:rPr>
        <w:t>edition; the Internation</w:t>
      </w:r>
      <w:r>
        <w:rPr>
          <w:rFonts w:ascii="Times New Roman" w:hAnsi="Times New Roman"/>
          <w:sz w:val="24"/>
          <w:szCs w:val="24"/>
          <w:u w:val="single"/>
        </w:rPr>
        <w:t>al Existing Building Code®, 2015</w:t>
      </w:r>
      <w:r>
        <w:rPr>
          <w:rFonts w:ascii="Times New Roman" w:hAnsi="Times New Roman"/>
          <w:sz w:val="24"/>
          <w:szCs w:val="24"/>
          <w:u w:val="single"/>
        </w:rPr>
        <w:t xml:space="preserve"> edition; the Internationa</w:t>
      </w:r>
      <w:r>
        <w:rPr>
          <w:rFonts w:ascii="Times New Roman" w:hAnsi="Times New Roman"/>
          <w:sz w:val="24"/>
          <w:szCs w:val="24"/>
          <w:u w:val="single"/>
        </w:rPr>
        <w:t>l Energy Conservation Code, 2015</w:t>
      </w:r>
      <w:r>
        <w:rPr>
          <w:rFonts w:ascii="Times New Roman" w:hAnsi="Times New Roman"/>
          <w:sz w:val="24"/>
          <w:szCs w:val="24"/>
          <w:u w:val="single"/>
        </w:rPr>
        <w:t>; th</w:t>
      </w:r>
      <w:r>
        <w:rPr>
          <w:rFonts w:ascii="Times New Roman" w:hAnsi="Times New Roman"/>
          <w:sz w:val="24"/>
          <w:szCs w:val="24"/>
          <w:u w:val="single"/>
        </w:rPr>
        <w:t>e National Electrical Code, 2014</w:t>
      </w:r>
      <w:r>
        <w:rPr>
          <w:rFonts w:ascii="Times New Roman" w:hAnsi="Times New Roman"/>
          <w:sz w:val="24"/>
          <w:szCs w:val="24"/>
          <w:u w:val="single"/>
        </w:rPr>
        <w:t xml:space="preserve"> edition; substantive criteria from the American Society of Heating, Refrigerating and Air-</w:t>
      </w:r>
      <w:r>
        <w:rPr>
          <w:rFonts w:ascii="Times New Roman" w:hAnsi="Times New Roman"/>
          <w:sz w:val="24"/>
          <w:szCs w:val="24"/>
          <w:u w:val="single"/>
        </w:rPr>
        <w:lastRenderedPageBreak/>
        <w:t>conditioning Engine</w:t>
      </w:r>
      <w:r>
        <w:rPr>
          <w:rFonts w:ascii="Times New Roman" w:hAnsi="Times New Roman"/>
          <w:sz w:val="24"/>
          <w:szCs w:val="24"/>
          <w:u w:val="single"/>
        </w:rPr>
        <w:t>ers’ (ASHRAE) Standard 90.1-2013</w:t>
      </w:r>
      <w:r>
        <w:rPr>
          <w:rFonts w:ascii="Times New Roman" w:hAnsi="Times New Roman"/>
          <w:sz w:val="24"/>
          <w:szCs w:val="24"/>
          <w:u w:val="single"/>
        </w:rPr>
        <w:t xml:space="preserve">. State and local codes adopted and incorporated into the code include the </w:t>
      </w:r>
      <w:r>
        <w:rPr>
          <w:rFonts w:ascii="Times New Roman" w:hAnsi="Times New Roman"/>
          <w:i/>
          <w:sz w:val="24"/>
          <w:szCs w:val="24"/>
          <w:u w:val="single"/>
        </w:rPr>
        <w:t>Florida Building Code, Accessibility,</w:t>
      </w:r>
      <w:r>
        <w:rPr>
          <w:rFonts w:ascii="Times New Roman" w:hAnsi="Times New Roman"/>
          <w:sz w:val="24"/>
          <w:szCs w:val="24"/>
          <w:u w:val="single"/>
        </w:rPr>
        <w:t xml:space="preserve"> and special hurricane protection standards for the High-Velocity Hurricane Zone.</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The code is composed of nine main volumes: the </w:t>
      </w:r>
      <w:r>
        <w:rPr>
          <w:rFonts w:ascii="Times New Roman" w:hAnsi="Times New Roman"/>
          <w:i/>
          <w:sz w:val="24"/>
          <w:szCs w:val="24"/>
          <w:u w:val="single"/>
        </w:rPr>
        <w:t>Florida Building Code, Building</w:t>
      </w:r>
      <w:r>
        <w:rPr>
          <w:rFonts w:ascii="Times New Roman" w:hAnsi="Times New Roman"/>
          <w:sz w:val="24"/>
          <w:szCs w:val="24"/>
          <w:u w:val="single"/>
        </w:rPr>
        <w:t xml:space="preserve">, which also includes state regulations for licensed facilities; the </w:t>
      </w:r>
      <w:r>
        <w:rPr>
          <w:rFonts w:ascii="Times New Roman" w:hAnsi="Times New Roman"/>
          <w:i/>
          <w:sz w:val="24"/>
          <w:szCs w:val="24"/>
          <w:u w:val="single"/>
        </w:rPr>
        <w:t>Florida Building Code, Plumbing</w:t>
      </w:r>
      <w:r>
        <w:rPr>
          <w:rFonts w:ascii="Times New Roman" w:hAnsi="Times New Roman"/>
          <w:sz w:val="24"/>
          <w:szCs w:val="24"/>
          <w:u w:val="single"/>
        </w:rPr>
        <w:t xml:space="preserve">; the </w:t>
      </w:r>
      <w:r>
        <w:rPr>
          <w:rFonts w:ascii="Times New Roman" w:hAnsi="Times New Roman"/>
          <w:i/>
          <w:sz w:val="24"/>
          <w:szCs w:val="24"/>
          <w:u w:val="single"/>
        </w:rPr>
        <w:t>Florida Building Code, Mechanical;</w:t>
      </w:r>
      <w:r>
        <w:rPr>
          <w:rFonts w:ascii="Times New Roman" w:hAnsi="Times New Roman"/>
          <w:sz w:val="24"/>
          <w:szCs w:val="24"/>
          <w:u w:val="single"/>
        </w:rPr>
        <w:t xml:space="preserve"> the </w:t>
      </w:r>
      <w:r>
        <w:rPr>
          <w:rFonts w:ascii="Times New Roman" w:hAnsi="Times New Roman"/>
          <w:i/>
          <w:sz w:val="24"/>
          <w:szCs w:val="24"/>
          <w:u w:val="single"/>
        </w:rPr>
        <w:t>Florida Building Code, Fuel Gas</w:t>
      </w:r>
      <w:r>
        <w:rPr>
          <w:rFonts w:ascii="Times New Roman" w:hAnsi="Times New Roman"/>
          <w:sz w:val="24"/>
          <w:szCs w:val="24"/>
          <w:u w:val="single"/>
        </w:rPr>
        <w:t xml:space="preserve">; the </w:t>
      </w:r>
      <w:r>
        <w:rPr>
          <w:rFonts w:ascii="Times New Roman" w:hAnsi="Times New Roman"/>
          <w:i/>
          <w:sz w:val="24"/>
          <w:szCs w:val="24"/>
          <w:u w:val="single"/>
        </w:rPr>
        <w:t>Florida Building Code, Existing Building</w:t>
      </w:r>
      <w:r>
        <w:rPr>
          <w:rFonts w:ascii="Times New Roman" w:hAnsi="Times New Roman"/>
          <w:sz w:val="24"/>
          <w:szCs w:val="24"/>
          <w:u w:val="single"/>
        </w:rPr>
        <w:t xml:space="preserve">; the </w:t>
      </w:r>
      <w:r>
        <w:rPr>
          <w:rFonts w:ascii="Times New Roman" w:hAnsi="Times New Roman"/>
          <w:i/>
          <w:sz w:val="24"/>
          <w:szCs w:val="24"/>
          <w:u w:val="single"/>
        </w:rPr>
        <w:t>Florida Building Code, Residential;</w:t>
      </w:r>
      <w:r>
        <w:rPr>
          <w:rFonts w:ascii="Times New Roman" w:hAnsi="Times New Roman"/>
          <w:sz w:val="24"/>
          <w:szCs w:val="24"/>
          <w:u w:val="single"/>
        </w:rPr>
        <w:t xml:space="preserve"> the </w:t>
      </w:r>
      <w:r>
        <w:rPr>
          <w:rFonts w:ascii="Times New Roman" w:hAnsi="Times New Roman"/>
          <w:i/>
          <w:sz w:val="24"/>
          <w:szCs w:val="24"/>
          <w:u w:val="single"/>
        </w:rPr>
        <w:t>Florida Building Code, Energy Conservation</w:t>
      </w:r>
      <w:r>
        <w:rPr>
          <w:rFonts w:ascii="Times New Roman" w:hAnsi="Times New Roman"/>
          <w:sz w:val="24"/>
          <w:szCs w:val="24"/>
          <w:u w:val="single"/>
        </w:rPr>
        <w:t xml:space="preserve">; the </w:t>
      </w:r>
      <w:r>
        <w:rPr>
          <w:rFonts w:ascii="Times New Roman" w:hAnsi="Times New Roman"/>
          <w:i/>
          <w:sz w:val="24"/>
          <w:szCs w:val="24"/>
          <w:u w:val="single"/>
        </w:rPr>
        <w:t xml:space="preserve">Florida Building Code, Accessibility </w:t>
      </w:r>
      <w:r>
        <w:rPr>
          <w:rFonts w:ascii="Times New Roman" w:hAnsi="Times New Roman"/>
          <w:sz w:val="24"/>
          <w:szCs w:val="24"/>
          <w:u w:val="single"/>
        </w:rPr>
        <w:t xml:space="preserve">and the </w:t>
      </w:r>
      <w:r>
        <w:rPr>
          <w:rFonts w:ascii="Times New Roman" w:hAnsi="Times New Roman"/>
          <w:i/>
          <w:sz w:val="24"/>
          <w:szCs w:val="24"/>
          <w:u w:val="single"/>
        </w:rPr>
        <w:t>Florida Building Code, Test Protocols for High-Velocity Hurricane Zones</w:t>
      </w:r>
      <w:r>
        <w:rPr>
          <w:rFonts w:ascii="Times New Roman" w:hAnsi="Times New Roman"/>
          <w:sz w:val="24"/>
          <w:szCs w:val="24"/>
          <w:u w:val="single"/>
        </w:rPr>
        <w:t xml:space="preserve">. Chapter 27 of the </w:t>
      </w:r>
      <w:r>
        <w:rPr>
          <w:rFonts w:ascii="Times New Roman" w:hAnsi="Times New Roman"/>
          <w:i/>
          <w:sz w:val="24"/>
          <w:szCs w:val="24"/>
          <w:u w:val="single"/>
        </w:rPr>
        <w:t>Florida Building Code, Building</w:t>
      </w:r>
      <w:r>
        <w:rPr>
          <w:rFonts w:ascii="Times New Roman" w:hAnsi="Times New Roman"/>
          <w:sz w:val="24"/>
          <w:szCs w:val="24"/>
          <w:u w:val="single"/>
        </w:rPr>
        <w:t xml:space="preserve">, adopts the </w:t>
      </w:r>
      <w:r>
        <w:rPr>
          <w:rFonts w:ascii="Times New Roman" w:hAnsi="Times New Roman"/>
          <w:i/>
          <w:sz w:val="24"/>
          <w:szCs w:val="24"/>
          <w:u w:val="single"/>
        </w:rPr>
        <w:t>National Electrical Code</w:t>
      </w:r>
      <w:r>
        <w:rPr>
          <w:rFonts w:ascii="Times New Roman" w:hAnsi="Times New Roman"/>
          <w:sz w:val="24"/>
          <w:szCs w:val="24"/>
          <w:u w:val="single"/>
        </w:rPr>
        <w:t>, NFPA 70, by reference.</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Under certain strictly defined conditions, local governments may amend requirements to be more stringent than the code. All local amendments to the </w:t>
      </w:r>
      <w:r>
        <w:rPr>
          <w:rFonts w:ascii="Times New Roman" w:hAnsi="Times New Roman"/>
          <w:i/>
          <w:sz w:val="24"/>
          <w:szCs w:val="24"/>
          <w:u w:val="single"/>
        </w:rPr>
        <w:t>Florida Building Code</w:t>
      </w:r>
      <w:r>
        <w:rPr>
          <w:rFonts w:ascii="Times New Roman" w:hAnsi="Times New Roman"/>
          <w:sz w:val="24"/>
          <w:szCs w:val="24"/>
          <w:u w:val="single"/>
        </w:rPr>
        <w:t xml:space="preserve"> must be adopted by local ordinance and reported to the Florida Building Commission then posted on </w:t>
      </w:r>
      <w:hyperlink r:id="rId5" w:history="1">
        <w:r>
          <w:rPr>
            <w:rStyle w:val="Hyperlink"/>
            <w:rFonts w:ascii="Times New Roman" w:hAnsi="Times New Roman"/>
            <w:sz w:val="24"/>
            <w:szCs w:val="24"/>
          </w:rPr>
          <w:t>www.floridabuilding.org</w:t>
        </w:r>
      </w:hyperlink>
      <w:r>
        <w:rPr>
          <w:rFonts w:ascii="Times New Roman" w:hAnsi="Times New Roman"/>
          <w:sz w:val="24"/>
          <w:szCs w:val="24"/>
          <w:u w:val="single"/>
        </w:rPr>
        <w:t xml:space="preserve">  in Legislative format for a month before being enforced. Local amendments to the </w:t>
      </w:r>
      <w:r>
        <w:rPr>
          <w:rFonts w:ascii="Times New Roman" w:hAnsi="Times New Roman"/>
          <w:i/>
          <w:sz w:val="24"/>
          <w:szCs w:val="24"/>
          <w:u w:val="single"/>
        </w:rPr>
        <w:t>Florida Building Code</w:t>
      </w:r>
      <w:r>
        <w:rPr>
          <w:rFonts w:ascii="Times New Roman" w:hAnsi="Times New Roman"/>
          <w:sz w:val="24"/>
          <w:szCs w:val="24"/>
          <w:u w:val="single"/>
        </w:rPr>
        <w:t xml:space="preserve"> and the </w:t>
      </w:r>
      <w:r>
        <w:rPr>
          <w:rFonts w:ascii="Times New Roman" w:hAnsi="Times New Roman"/>
          <w:i/>
          <w:sz w:val="24"/>
          <w:szCs w:val="24"/>
          <w:u w:val="single"/>
        </w:rPr>
        <w:t xml:space="preserve">Florida Fire Prevention Code </w:t>
      </w:r>
      <w:r>
        <w:rPr>
          <w:rFonts w:ascii="Times New Roman" w:hAnsi="Times New Roman"/>
          <w:sz w:val="24"/>
          <w:szCs w:val="24"/>
          <w:u w:val="single"/>
        </w:rPr>
        <w:t>may be obtained from the Florida Building Commission web site, or from the Florida Department of Business and Professional Regulation or the Florida Department of Financial Services, Office of the State Fire Marshal, respectively.</w:t>
      </w:r>
    </w:p>
    <w:p w:rsidR="00C03D4B" w:rsidRDefault="00C03D4B" w:rsidP="00C03D4B">
      <w:pPr>
        <w:spacing w:before="120" w:after="0" w:line="240" w:lineRule="auto"/>
        <w:rPr>
          <w:rFonts w:ascii="Times New Roman" w:hAnsi="Times New Roman"/>
          <w:b/>
          <w:sz w:val="24"/>
          <w:szCs w:val="24"/>
          <w:u w:val="single"/>
        </w:rPr>
      </w:pPr>
    </w:p>
    <w:p w:rsidR="00C03D4B" w:rsidRDefault="00C03D4B" w:rsidP="00C03D4B">
      <w:pPr>
        <w:spacing w:before="120" w:after="0" w:line="240" w:lineRule="auto"/>
        <w:rPr>
          <w:rFonts w:ascii="Times New Roman" w:hAnsi="Times New Roman"/>
          <w:b/>
          <w:sz w:val="24"/>
          <w:szCs w:val="24"/>
          <w:u w:val="single"/>
        </w:rPr>
      </w:pPr>
      <w:r>
        <w:rPr>
          <w:rFonts w:ascii="Times New Roman" w:hAnsi="Times New Roman"/>
          <w:b/>
          <w:sz w:val="24"/>
          <w:szCs w:val="24"/>
          <w:u w:val="single"/>
        </w:rPr>
        <w:t>Adoption and Maintenance</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The </w:t>
      </w:r>
      <w:r>
        <w:rPr>
          <w:rFonts w:ascii="Times New Roman" w:hAnsi="Times New Roman"/>
          <w:i/>
          <w:sz w:val="24"/>
          <w:szCs w:val="24"/>
          <w:u w:val="single"/>
        </w:rPr>
        <w:t>Florida Building Code</w:t>
      </w:r>
      <w:r>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Pr>
          <w:rFonts w:ascii="Times New Roman" w:hAnsi="Times New Roman"/>
          <w:i/>
          <w:sz w:val="24"/>
          <w:szCs w:val="24"/>
          <w:u w:val="single"/>
        </w:rPr>
        <w:t>F.S.</w:t>
      </w:r>
      <w:r>
        <w:rPr>
          <w:rFonts w:ascii="Times New Roman" w:hAnsi="Times New Roman"/>
          <w:sz w:val="24"/>
          <w:szCs w:val="24"/>
          <w:u w:val="single"/>
        </w:rPr>
        <w:t xml:space="preserve"> They are subject to Commission review and adoption into the code or repeal when the code is updated triennially and are subject to appeal to the Commission according to the procedures established by Section 553.73, </w:t>
      </w:r>
      <w:r>
        <w:rPr>
          <w:rFonts w:ascii="Times New Roman" w:hAnsi="Times New Roman"/>
          <w:i/>
          <w:sz w:val="24"/>
          <w:szCs w:val="24"/>
          <w:u w:val="single"/>
        </w:rPr>
        <w:t>F.S</w:t>
      </w:r>
      <w:r>
        <w:rPr>
          <w:rFonts w:ascii="Times New Roman" w:hAnsi="Times New Roman"/>
          <w:sz w:val="24"/>
          <w:szCs w:val="24"/>
          <w:u w:val="single"/>
        </w:rPr>
        <w:t>.</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The Commission may only issue official code clarifications using procedures of Chapter 120, </w:t>
      </w:r>
      <w:r>
        <w:rPr>
          <w:rFonts w:ascii="Times New Roman" w:hAnsi="Times New Roman"/>
          <w:i/>
          <w:sz w:val="24"/>
          <w:szCs w:val="24"/>
          <w:u w:val="single"/>
        </w:rPr>
        <w:t>Florida Statutes</w:t>
      </w:r>
      <w:r>
        <w:rPr>
          <w:rFonts w:ascii="Times New Roman" w:hAnsi="Times New Roman"/>
          <w:sz w:val="24"/>
          <w:szCs w:val="24"/>
          <w:u w:val="single"/>
        </w:rPr>
        <w:t xml:space="preserve">.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 These interpretations establish precedents for situations having similar facts and circumstances and are typically incorporated into the code in the next code </w:t>
      </w:r>
      <w:r>
        <w:rPr>
          <w:rFonts w:ascii="Times New Roman" w:hAnsi="Times New Roman"/>
          <w:sz w:val="24"/>
          <w:szCs w:val="24"/>
          <w:u w:val="single"/>
        </w:rPr>
        <w:lastRenderedPageBreak/>
        <w:t>amendment cycle. Non-binding opinions are available from the Building Officials Association of Florida’s web site (www.BOAF.net) and a Binding Opinion process is available online at www.floridabuilding.org.</w:t>
      </w:r>
    </w:p>
    <w:p w:rsidR="00C03D4B" w:rsidRDefault="00C03D4B" w:rsidP="00C03D4B">
      <w:pPr>
        <w:spacing w:before="120" w:after="0" w:line="240" w:lineRule="auto"/>
        <w:rPr>
          <w:rFonts w:ascii="Times New Roman" w:hAnsi="Times New Roman"/>
          <w:b/>
          <w:sz w:val="24"/>
          <w:szCs w:val="24"/>
        </w:rPr>
      </w:pPr>
    </w:p>
    <w:p w:rsidR="00C03D4B" w:rsidRDefault="00C03D4B" w:rsidP="00C03D4B">
      <w:pPr>
        <w:spacing w:before="120" w:after="0" w:line="240" w:lineRule="auto"/>
        <w:rPr>
          <w:rFonts w:ascii="Times New Roman" w:hAnsi="Times New Roman"/>
          <w:b/>
          <w:sz w:val="24"/>
          <w:szCs w:val="24"/>
          <w:u w:val="single"/>
        </w:rPr>
      </w:pPr>
      <w:r>
        <w:rPr>
          <w:rFonts w:ascii="Times New Roman" w:hAnsi="Times New Roman"/>
          <w:b/>
          <w:sz w:val="24"/>
          <w:szCs w:val="24"/>
          <w:u w:val="single"/>
        </w:rPr>
        <w:t>Marginal Markings</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Dotted vertical lines in the margins within the body of the Florida Test Protocols for High-Velocity Hurricane Zones  indicate a change from the requirements of the base codes to the Florida Test Protocols for </w:t>
      </w:r>
      <w:r>
        <w:rPr>
          <w:rFonts w:ascii="Times New Roman" w:hAnsi="Times New Roman"/>
          <w:sz w:val="24"/>
          <w:szCs w:val="24"/>
          <w:u w:val="single"/>
        </w:rPr>
        <w:t>High-Velocity Hurricane Zones, 6</w:t>
      </w:r>
      <w:r>
        <w:rPr>
          <w:rFonts w:ascii="Times New Roman" w:hAnsi="Times New Roman"/>
          <w:sz w:val="24"/>
          <w:szCs w:val="24"/>
          <w:u w:val="single"/>
          <w:vertAlign w:val="superscript"/>
        </w:rPr>
        <w:t>th</w:t>
      </w:r>
      <w:r>
        <w:rPr>
          <w:rFonts w:ascii="Times New Roman" w:hAnsi="Times New Roman"/>
          <w:sz w:val="24"/>
          <w:szCs w:val="24"/>
          <w:u w:val="single"/>
        </w:rPr>
        <w:t xml:space="preserve"> Edition (2017</w:t>
      </w:r>
      <w:r>
        <w:rPr>
          <w:rFonts w:ascii="Times New Roman" w:hAnsi="Times New Roman"/>
          <w:sz w:val="24"/>
          <w:szCs w:val="24"/>
          <w:u w:val="single"/>
        </w:rPr>
        <w:t xml:space="preserve">), effective </w:t>
      </w:r>
      <w:r>
        <w:rPr>
          <w:rFonts w:ascii="Times New Roman" w:hAnsi="Times New Roman"/>
          <w:color w:val="FF0000"/>
          <w:sz w:val="24"/>
          <w:szCs w:val="24"/>
          <w:u w:val="single"/>
        </w:rPr>
        <w:t>???</w:t>
      </w:r>
      <w:bookmarkStart w:id="0" w:name="_GoBack"/>
      <w:bookmarkEnd w:id="0"/>
      <w:r>
        <w:rPr>
          <w:rFonts w:ascii="Times New Roman" w:hAnsi="Times New Roman"/>
          <w:sz w:val="24"/>
          <w:szCs w:val="24"/>
          <w:u w:val="single"/>
        </w:rPr>
        <w:t>.</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Sections deleted from the base code are designated “Reserved”.</w:t>
      </w:r>
    </w:p>
    <w:p w:rsidR="00C03D4B" w:rsidRDefault="00C03D4B" w:rsidP="00C03D4B">
      <w:pPr>
        <w:spacing w:before="120" w:after="0" w:line="240" w:lineRule="auto"/>
        <w:rPr>
          <w:rFonts w:ascii="Times New Roman" w:hAnsi="Times New Roman"/>
          <w:sz w:val="24"/>
          <w:szCs w:val="24"/>
        </w:rPr>
      </w:pPr>
    </w:p>
    <w:p w:rsidR="00C03D4B" w:rsidRDefault="00C03D4B" w:rsidP="00C03D4B">
      <w:pPr>
        <w:spacing w:before="120" w:after="0" w:line="240" w:lineRule="auto"/>
        <w:rPr>
          <w:rFonts w:ascii="Times New Roman" w:hAnsi="Times New Roman"/>
          <w:b/>
          <w:sz w:val="24"/>
          <w:szCs w:val="24"/>
          <w:u w:val="single"/>
        </w:rPr>
      </w:pPr>
      <w:r>
        <w:rPr>
          <w:rFonts w:ascii="Times New Roman" w:hAnsi="Times New Roman"/>
          <w:b/>
          <w:sz w:val="24"/>
          <w:szCs w:val="24"/>
          <w:u w:val="single"/>
        </w:rPr>
        <w:t>Acknowledgments</w:t>
      </w:r>
    </w:p>
    <w:p w:rsidR="00C03D4B" w:rsidRDefault="00C03D4B" w:rsidP="00C03D4B">
      <w:pPr>
        <w:spacing w:before="120" w:after="0" w:line="240" w:lineRule="auto"/>
        <w:rPr>
          <w:rFonts w:ascii="Times New Roman" w:hAnsi="Times New Roman"/>
          <w:sz w:val="24"/>
          <w:szCs w:val="24"/>
          <w:u w:val="single"/>
        </w:rPr>
      </w:pPr>
      <w:r>
        <w:rPr>
          <w:rFonts w:ascii="Times New Roman" w:hAnsi="Times New Roman"/>
          <w:sz w:val="24"/>
          <w:szCs w:val="24"/>
          <w:u w:val="single"/>
        </w:rPr>
        <w:t xml:space="preserve">The </w:t>
      </w:r>
      <w:r>
        <w:rPr>
          <w:rFonts w:ascii="Times New Roman" w:hAnsi="Times New Roman"/>
          <w:i/>
          <w:sz w:val="24"/>
          <w:szCs w:val="24"/>
          <w:u w:val="single"/>
        </w:rPr>
        <w:t>Florida Building Code</w:t>
      </w:r>
      <w:r>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C03D4B" w:rsidRDefault="00C03D4B" w:rsidP="00C03D4B">
      <w:pPr>
        <w:spacing w:before="120" w:after="0" w:line="240" w:lineRule="auto"/>
        <w:rPr>
          <w:rFonts w:ascii="Times New Roman" w:hAnsi="Times New Roman"/>
          <w:b/>
          <w:color w:val="FF0000"/>
          <w:sz w:val="24"/>
          <w:szCs w:val="24"/>
        </w:rPr>
      </w:pPr>
    </w:p>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4B"/>
    <w:rsid w:val="00A561EE"/>
    <w:rsid w:val="00B850E3"/>
    <w:rsid w:val="00C0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4B"/>
    <w:pPr>
      <w:spacing w:after="200" w:line="276" w:lineRule="auto"/>
    </w:pPr>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03D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4B"/>
    <w:pPr>
      <w:spacing w:after="200" w:line="276" w:lineRule="auto"/>
    </w:pPr>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03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3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ridabuild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2015-06-28T22:12:00Z</dcterms:created>
  <dcterms:modified xsi:type="dcterms:W3CDTF">2015-06-28T22:18:00Z</dcterms:modified>
</cp:coreProperties>
</file>